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EB" w:rsidRPr="008E3128" w:rsidRDefault="008E3128" w:rsidP="008E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</w:t>
      </w:r>
      <w:r w:rsidR="00F87EEB" w:rsidRPr="008E3128">
        <w:rPr>
          <w:rFonts w:ascii="Times New Roman" w:hAnsi="Times New Roman" w:cs="Times New Roman"/>
          <w:b/>
          <w:sz w:val="28"/>
          <w:szCs w:val="28"/>
        </w:rPr>
        <w:t>ризнак</w:t>
      </w:r>
      <w:r w:rsidRPr="008E312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7EEB" w:rsidRPr="008E3128">
        <w:rPr>
          <w:rFonts w:ascii="Times New Roman" w:hAnsi="Times New Roman" w:cs="Times New Roman"/>
          <w:b/>
          <w:sz w:val="28"/>
          <w:szCs w:val="28"/>
        </w:rPr>
        <w:t>психологического неблагополучия ребенка, которые можно определить по его игре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128">
        <w:rPr>
          <w:rFonts w:ascii="Times New Roman" w:hAnsi="Times New Roman" w:cs="Times New Roman"/>
          <w:i/>
          <w:sz w:val="28"/>
          <w:szCs w:val="28"/>
        </w:rPr>
        <w:t>Если внимательно наблюдать за игрой ребенка, можно диагностировать его психологическое неблагополучие, не прибегая к другим методам исследования. Для этого нужно обратить внимание, какие игрушки он использует, провести анализ игрового сюжета и ролей ребенка в игре. Существует ряд признаков детской игры, на основании которых можно говорить о психологическом неблагополучии ребенка. Рассмотрим их в порядке убывания степени психической патологии.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128">
        <w:rPr>
          <w:rFonts w:ascii="Times New Roman" w:hAnsi="Times New Roman" w:cs="Times New Roman"/>
          <w:b/>
          <w:sz w:val="28"/>
          <w:szCs w:val="28"/>
        </w:rPr>
        <w:t>Признак 1: присутствует вычурность</w:t>
      </w:r>
    </w:p>
    <w:bookmarkEnd w:id="0"/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Обратите внимание на сюжет и игровые действия ребенка. Он может играть в основном неигровыми предметами и чаще всего одними и теми же в течение нескольких месяцев или даже лет.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Первый признак проявляется и в однообразных простых действиях во время игры. Например, дошкольник долго вертит предмет, стучит им, что-то пересыпает, обнюхивает или облизывает.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Насторожить может и тот факт, что ребенок не воспроизводит обычные межличностные отношения в игре. Он часто играет в одиночку вымышленными игрушками, персонажами. Основная часть игры разворачивается в его воображении, и ее фактически невозможно додумать, понять. В такую игру нельзя включиться, потому что игровой мир ребенка имеет только ему ведомый смысл.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Пример. Ребенок играет в «черную дыру». Он сидит на одном месте и совершает странные движения. Во время игры он ни на какие игровые действия взрослого не реагирует, другой игры не хочет, продолжает играть по-своему.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Такие вычурные игры указывают на психическую патологию у ребенка, возможно шизофрению. Сходные нарушения игры характерны также детям с ранним детским аутизмом (РДА) и с расстройством аутистического спектра (РАС). В этом случае на первый план выступают не вычурность и странность игры, а ее стереотипность, отсутствие намерения и желания принять какие-либо изменения (другую игрушку, сюжет, место игры).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2: появился регресс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Основной диагностический критерий регресса в игре – не отставание игры от возрастных нормативов, а потеря уже приобретенных игровых навыков, сюжетов, умений. При регрессе ребенок отказывается от речевого сопровождения игры, исчезает сюжетно-ролевая игра в пользу предметно-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lastRenderedPageBreak/>
        <w:t>манипулятивной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>. Дошкольник утрачивает способность играть самостоятельно, без взрослого, или в компании ровесников. Он сокращает и упрощает репертуар спонтанных игр.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Регресс в игре может сопровождаться регрессом во взаимодействии с родителями. Ребенок возвращается к поведению, которое было свойственно ему в более ранний период развития. Например, может отказаться от бытовых навыков, которые он уже освоил, или снизить уровень речевого поведения. Дошкольник может демонстрировать поведение привязанности – все время звать своих родителей, бежать к ним, лезть на руки, не отпускать, преследовать.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Такое поведение ребенка свидетельствует о наличии у него интенсивных переживаний, которые он не может выразить словами. Основная функция регресса – защитная, возникает она в ответ на переживание чувства небезопасности и символизирует желание ребенка воссоединиться с матерью, быть маленьким и защищенным.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Состояние регресса характерно детям, которые перенесли насилие или оказались свидетелями насильственного преступления, жесткого обращения с близким родственником, стихийного бедствия. Также интенсивные переживания могут возникнуть у дошкольников, которые были вынуждены быстро адаптироваться к значимым изменениям в жизни.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3: отсутствует сюжетно-ролевая игра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Сюжетно-ролевая игра – ведущая деятельность дошкольного возраста. Если сюжетно-ролевая игра отсутствует у ребенка в этом возрасте, то можно говорить об отставании в развитии. Такой признак характерен для олигофрении, органических деменций и ЗПР разного генеза.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Не путайте со случаями, когда ребенок желает играть в сюжетно-ролевые игры, но не умеет этого делать. Например, дошкольник не может сам развивать сюжет, не умеет присоединиться к сверстникам для игры, нуждается в помощи взрослого для установления игрового контакта с ровесником, не может договориться о ролях, все время меняет сюжет так, чтобы игра была приятна ему, несмотря на другие намерения остальных игроков. В таких случаях сюжетно-ролевая игра есть, но ее реализация затруднена невротическими проблемами ребенка.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4: не способен длительно сосредоточиться на игре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 xml:space="preserve">Когда ребенок неспособен удержать внимание на игре дольше пяти минут в шестилетнем возрасте и старше, то это служит одним из критериев синдрома дефицита внимания. Неспособность длительно сосредоточиться на игре </w:t>
      </w:r>
      <w:r w:rsidRPr="008E3128">
        <w:rPr>
          <w:rFonts w:ascii="Times New Roman" w:hAnsi="Times New Roman" w:cs="Times New Roman"/>
          <w:sz w:val="28"/>
          <w:szCs w:val="28"/>
        </w:rPr>
        <w:lastRenderedPageBreak/>
        <w:t>может говорить и о синдроме дефицита внимания с 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(СДВГ). Но при этом нужно обратить внимание и на другие признаки.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Определите, способен ребенок дождаться своей очереди в игре или нет. Проявляет ли он импульсивность, невнимательность к деталям, есть ли трудности с самоорганизацией. У ребенка с СДВГ проявляются и 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гиперкинетические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симптомы: моторная неловкость, двигательная расторможенность. Совокупность всех этих признаков при СДВГ возникает у ребенка в возрасте до 7 лет. Это неврологическая проблема, которая особенно остро проявляется в период от 7 до 12 лет.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5: застревает на одной эмоции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Иногда ребенок, завершив игру, не может переключиться с того чувства, которое испытывал в ней. Чаще всего это заметно в агрессивных играх: война, нападения, преследование. Ребенок продолжает действия с той же эмоцией, например, нападает на родителя, крушит предметы. Он не отвечает на изменения поведения окружающих, не успокаивается, не умиротворяется.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Такая ригидность эмоционального состояния характерна для детей с минимальной мозговой дисфункцией (ММД). Это вариант развития нервной системы, который постепенно корректируется по мере созревания мозга.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6: играет с воображаемым другом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Еще один признак психического неблагополучия – игры с воображаемым другом. Воображаемый друг стабилен, он присутствует в жизни ребенка ежедневно, участвует во всех его играх и бытовых делах, ждет его из детского сада или школы. Друг, которого придумал ребенок, имеет устойчивые индивидуальные характеристики и исполняет поддерживающую роль в жизни ребенка.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Воображаемый друг – не признак психотического процесса, но сигнализирует о значительной эмоциональной проблематике ребенка. Он указывает на 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личностных ресурсов ребенка в повседневной жизни: ему не хватает средств, которые позволяют совладать с характерным для данного периода жизни уровнем психологической нагрузки и трудностей.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Такие игры свойственны детям, которые испытывают нехватку общения с родителями и сверстниками, перегружены развивающими занятиями, переживают родительскую конфликтность или развод. Чаще всего воображаемый друг появляется у ребенка в старшем дошкольном возрасте, в период интенсивного развития фантазии.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K1"/>
      <w:bookmarkEnd w:id="1"/>
      <w:r w:rsidRPr="008E3128">
        <w:rPr>
          <w:rFonts w:ascii="Times New Roman" w:hAnsi="Times New Roman" w:cs="Times New Roman"/>
          <w:sz w:val="28"/>
          <w:szCs w:val="28"/>
        </w:rPr>
        <w:t>Диагностическая памятка «Нарушения игры и психологический статус ребенка»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lastRenderedPageBreak/>
        <w:t>Признак 7: постоянно проявляет агрессию в игре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Если ребенок вне зависимости от сюжета игры проявляет в ней косвенную и прямую агрессивность, то у него повышенный уровень агрессии. Он не умеет и не может выразить агрессивные импульсы вне игры.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К косвенной агрессивности относят командный тон ребенка, отказ принимать условия другого игрока, настойчивая борьба за то, чтобы все сделать по-своему. Также в эту группу включают негативные оценки другому, отказ осуществлять заботу, предписанную игровой ролью, – не накормлю, не спасу, не вылечу. Ребенок обращается с персонажем так, чтобы его негативные чувства усилились – стало больнее, опаснее. О прямой агрессивности можно говорить, если дошкольник ругается, обзывается, толкается, дерется, отбирает чужое.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Агрессивность типична для детей из 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гиперсоциализирующих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семей, в которых следование этикету важнее детских переживаний. В таких семьях нельзя злиться, шуметь, что-то бросать; можно и нужно быть вежливым, послушным, всем делиться. Также она может быть показателем нарушений в развитии или невротических проблем у ребенка.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Выплеск агрессии в игре может быть и отражением семейной атмосферы. У родителей ребенка возможен открытый конфликт между собой или с другими членами семьи. В этом случае агрессия в игре менее устойчива, это скорее способ решения проблемы, чем ожесточенное отношение к игрокам и персонажам, поворот сюжета в негативную сторону.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8: травмирует себя во время самостоятельной игры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Ребенок, играя без взрослого, может постоянно травмироваться. Например, ронять на себя тяжелые предметы, чем-то царапаться, падать и ударяться на ровном месте. Такое поведение сигнализирует о сепарационной тревоге – беспокойстве из-за разлуки с родителем, отказе от развития самостоятельности. Ребенок только рядом с родителями ощущает себя в безопасности и испытывает потребность в их присутствии.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128">
        <w:rPr>
          <w:rFonts w:ascii="Times New Roman" w:hAnsi="Times New Roman" w:cs="Times New Roman"/>
          <w:sz w:val="28"/>
          <w:szCs w:val="28"/>
        </w:rPr>
        <w:t>Самотравмирование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свойственно детям с нарушениями привязанности. Это может происходить, если родители 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дистанцированы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от ребенка, больше заняты работой или другими детьми. Возможно, родители угрожают дошкольнику не любить его или покинуть, если он не будет их слушаться: «я тебя такого не люблю», «отдам тебя тете», «не слушаешься – тогда мама уйдет», «вернем в магазин», «возьмем другого мальчика вместо тебя».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9: повторяет один и тот же сюжет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lastRenderedPageBreak/>
        <w:t>Сюжет игры символически отражает значимые переживания ребенка о себе и мире. Большинство сюжетов игры дошкольников отображают какие-то фрагменты социальной действительности: семейные отношения, разрешение конфликтов, установление близких отношений, обучение, торговлю.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 xml:space="preserve">Повторяющийся сюжет игры 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диагностичен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>: воссоздается сотрудничество, конкуренция, стремление быть важным для других, поиск близости, утоление голода (потребности в чем-то извне). Обратите внимание на сюжеты, которые повторяются не реже, чем раз в три дня на протяжении не менее трех месяцев. Определите по таблице, какие свои переживая ребенок неосознанно проигрывает в игре.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Шпаргалка «Отражение переживаний ребенка в сюжете игры»</w:t>
      </w:r>
    </w:p>
    <w:tbl>
      <w:tblPr>
        <w:tblW w:w="11220" w:type="dxa"/>
        <w:tblCellSpacing w:w="15" w:type="dxa"/>
        <w:tblInd w:w="-851" w:type="dxa"/>
        <w:tblBorders>
          <w:bottom w:val="inset" w:sz="6" w:space="0" w:color="F09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6971"/>
      </w:tblGrid>
      <w:tr w:rsidR="00F87EEB" w:rsidRPr="008E3128" w:rsidTr="008E312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F09300"/>
              <w:right w:val="nil"/>
            </w:tcBorders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Повторяющийся сюжет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9300"/>
              <w:right w:val="nil"/>
            </w:tcBorders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Порождающие его переживания ребенка</w:t>
            </w:r>
          </w:p>
        </w:tc>
      </w:tr>
      <w:tr w:rsidR="00F87EEB" w:rsidRPr="008E3128" w:rsidTr="008E31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Катастрофы, крушения, убийства, стихийные бедствия,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Ощущение беды, ужаса, опасного вторжения из внешнего мира. Могут быть реакцией на утрату</w:t>
            </w:r>
          </w:p>
        </w:tc>
      </w:tr>
      <w:tr w:rsidR="00F87EEB" w:rsidRPr="008E3128" w:rsidTr="008E3128">
        <w:trPr>
          <w:tblCellSpacing w:w="15" w:type="dxa"/>
        </w:trPr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Ремонт, лечение, починка, восстановление из руин</w:t>
            </w:r>
          </w:p>
        </w:tc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Потребность в изменении жизненных обстоятельств</w:t>
            </w:r>
          </w:p>
        </w:tc>
      </w:tr>
      <w:tr w:rsidR="00F87EEB" w:rsidRPr="008E3128" w:rsidTr="008E3128">
        <w:trPr>
          <w:tblCellSpacing w:w="15" w:type="dxa"/>
        </w:trPr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Преступники и полицейские</w:t>
            </w:r>
          </w:p>
        </w:tc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Внутренний конфликт, самонаказание, ощущение недозволенности собственного спонтанного поведения, психологическая потребность в снятии вины, принятии наказания. Может сопровождаться провокационным поведением, которое влечет за собой наказание и облегчающее чувство вины</w:t>
            </w:r>
          </w:p>
        </w:tc>
      </w:tr>
      <w:tr w:rsidR="00F87EEB" w:rsidRPr="008E3128" w:rsidTr="008E3128">
        <w:trPr>
          <w:tblCellSpacing w:w="15" w:type="dxa"/>
        </w:trPr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Побег, освобождение, выживание в сложных обстоятельствах</w:t>
            </w:r>
          </w:p>
        </w:tc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Желание сбежать из реальной действительности, необходимость выживать, предельное напряжение ресурсов</w:t>
            </w:r>
          </w:p>
        </w:tc>
      </w:tr>
      <w:tr w:rsidR="00F87EEB" w:rsidRPr="008E3128" w:rsidTr="008E3128">
        <w:trPr>
          <w:tblCellSpacing w:w="15" w:type="dxa"/>
        </w:trPr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Уединение, воздвижение заборов, границ, уход в пещеры, на необитаемый остров</w:t>
            </w:r>
          </w:p>
        </w:tc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Отсутствие личного пространства и острая потребность в нем; нарушения личных границ ребенка в семье</w:t>
            </w:r>
          </w:p>
        </w:tc>
      </w:tr>
      <w:tr w:rsidR="00F87EEB" w:rsidRPr="008E3128" w:rsidTr="008E3128">
        <w:trPr>
          <w:tblCellSpacing w:w="15" w:type="dxa"/>
        </w:trPr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Сексуальная тематика: игры с раздеванием, изучением половых органов, игры, в которых имитируется половой акт</w:t>
            </w:r>
          </w:p>
        </w:tc>
        <w:tc>
          <w:tcPr>
            <w:tcW w:w="0" w:type="auto"/>
            <w:tcBorders>
              <w:top w:val="single" w:sz="6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F87EEB" w:rsidRPr="008E3128" w:rsidRDefault="00F87EEB" w:rsidP="008E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28">
              <w:rPr>
                <w:rFonts w:ascii="Times New Roman" w:hAnsi="Times New Roman" w:cs="Times New Roman"/>
                <w:sz w:val="28"/>
                <w:szCs w:val="28"/>
              </w:rPr>
              <w:t>У детей нет сексуальной потребности, такие игры направлены на изучение своего тела, присвоение пола, отображение элементов отношений взрослых. Но они могут сигнализировать о сексуальной травме, если повторяются с вышеуказанной и нарастающей частотой, инициируются с разными партнерами, нарастают по разнообразию сюжета</w:t>
            </w:r>
          </w:p>
        </w:tc>
      </w:tr>
    </w:tbl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10: назойливо преследует других детей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На психологическое неблагополучие указывает стремление ребенка присоединиться к каждому играющему ребенку без разбора. В таких случаях дошкольник не реагирует на отказы, ведет себя без учета обращенных к нему высказываний, игнорирует все сигналы о том, что с ним не хотят играть. Взрослые характеризуют таких детей утомительными, навязчивыми, надоедливыми, назойливыми, прилипчивыми, глупыми.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Назойливость характерна для детей, которые воспитываются в социально неблагополучных семьях, где детская потребность в общении и игре никому не интересна. В этом случае ребенок пытается реализовать неудовлетворенную коммуникативную потребность.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Навязчивые дети могут быть и у родителей, которые не умеют или не считают нужным установить границы, научить ребенка слышать и воспринимать отказ. Они не используют прямые запреты и слова «нет», «нельзя», считая это необязательным или болезненным для ребенка. В результате ребенок не способен воспринять требование другого человека о сохранении границ.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>Преследовать других детей может и ребенок, который находится в </w:t>
      </w:r>
      <w:proofErr w:type="spellStart"/>
      <w:r w:rsidRPr="008E3128"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 w:rsidRPr="008E3128">
        <w:rPr>
          <w:rFonts w:ascii="Times New Roman" w:hAnsi="Times New Roman" w:cs="Times New Roman"/>
          <w:sz w:val="28"/>
          <w:szCs w:val="28"/>
        </w:rPr>
        <w:t xml:space="preserve"> с родителем, когда пожелания другого не высказываются, а должны быть угаданы. Формируется неспособность различать ситуации по типу «надо сделать самому» – «надо сделать с кем-то», что проявляется и в игре, и в других видах деятельности.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28">
        <w:rPr>
          <w:rFonts w:ascii="Times New Roman" w:hAnsi="Times New Roman" w:cs="Times New Roman"/>
          <w:b/>
          <w:sz w:val="28"/>
          <w:szCs w:val="28"/>
        </w:rPr>
        <w:t>Признак 11: играет только с гаджетом 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  <w:r w:rsidRPr="008E3128">
        <w:rPr>
          <w:rFonts w:ascii="Times New Roman" w:hAnsi="Times New Roman" w:cs="Times New Roman"/>
          <w:sz w:val="28"/>
          <w:szCs w:val="28"/>
        </w:rPr>
        <w:t xml:space="preserve">Если электронная игра вызывает у ребенка больше положительных чувств, чем любая другая, предпочитается взаимодействию с ровесниками и членами семьи, можно говорить об игровой зависимости. Самостоятельное планирование завершения игры или отказа от нее при этом невозможны, </w:t>
      </w:r>
      <w:r w:rsidRPr="008E3128">
        <w:rPr>
          <w:rFonts w:ascii="Times New Roman" w:hAnsi="Times New Roman" w:cs="Times New Roman"/>
          <w:sz w:val="28"/>
          <w:szCs w:val="28"/>
        </w:rPr>
        <w:lastRenderedPageBreak/>
        <w:t>а запрет на игру ведет к негативным переживаниям. Зависимый от электронных игр ребенок всегда эмоционально неблагополучен. Он имеет неудовлетворенные потребности в сенсорном разнообразии, общении, психологической безопасности, последовательном воспитании.</w:t>
      </w:r>
    </w:p>
    <w:p w:rsidR="00F87EEB" w:rsidRPr="008E3128" w:rsidRDefault="00F87EEB" w:rsidP="008E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FA" w:rsidRPr="008E3128" w:rsidRDefault="008E3128" w:rsidP="008E3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1FA" w:rsidRPr="008E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EB"/>
    <w:rsid w:val="0068170A"/>
    <w:rsid w:val="008E3128"/>
    <w:rsid w:val="00C85051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329D"/>
  <w15:chartTrackingRefBased/>
  <w15:docId w15:val="{D12EC13B-D494-437B-94C9-BEF1486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756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263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35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3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286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5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5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4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3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1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2023-08-30T02:36:00Z</dcterms:created>
  <dcterms:modified xsi:type="dcterms:W3CDTF">2023-08-30T02:36:00Z</dcterms:modified>
</cp:coreProperties>
</file>